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FF0" w:rsidRPr="00512F71" w:rsidRDefault="00E07AEC" w:rsidP="00791A6D">
      <w:pPr>
        <w:spacing w:line="460" w:lineRule="exact"/>
        <w:jc w:val="center"/>
        <w:rPr>
          <w:rFonts w:eastAsia="標楷體" w:hAnsi="標楷體" w:cs="標楷體"/>
          <w:b/>
          <w:bCs/>
          <w:sz w:val="40"/>
          <w:szCs w:val="40"/>
        </w:rPr>
      </w:pPr>
      <w:r w:rsidRPr="00512F71">
        <w:rPr>
          <w:rFonts w:eastAsia="標楷體" w:hAnsi="標楷體" w:cs="標楷體" w:hint="eastAsia"/>
          <w:b/>
          <w:bCs/>
          <w:sz w:val="40"/>
          <w:szCs w:val="40"/>
        </w:rPr>
        <w:t>行政院農業委員會</w:t>
      </w:r>
      <w:r w:rsidR="00FD1FF0" w:rsidRPr="00512F71">
        <w:rPr>
          <w:rFonts w:eastAsia="標楷體" w:hAnsi="標楷體" w:cs="標楷體" w:hint="eastAsia"/>
          <w:b/>
          <w:bCs/>
          <w:sz w:val="40"/>
          <w:szCs w:val="40"/>
        </w:rPr>
        <w:t>高雄區農業改良場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20"/>
      </w:tblGrid>
      <w:tr w:rsidR="00FD1FF0" w:rsidRPr="00791A6D" w:rsidTr="00C20098">
        <w:tc>
          <w:tcPr>
            <w:tcW w:w="10420" w:type="dxa"/>
          </w:tcPr>
          <w:p w:rsidR="00FD1FF0" w:rsidRPr="00913414" w:rsidRDefault="00E07AEC" w:rsidP="00913414">
            <w:pPr>
              <w:spacing w:line="460" w:lineRule="exact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施工規範</w:t>
            </w:r>
          </w:p>
        </w:tc>
      </w:tr>
      <w:tr w:rsidR="00FD1FF0" w:rsidRPr="00791A6D" w:rsidTr="00C20098">
        <w:tc>
          <w:tcPr>
            <w:tcW w:w="10420" w:type="dxa"/>
          </w:tcPr>
          <w:p w:rsidR="00E07AEC" w:rsidRPr="00512F71" w:rsidRDefault="00E07AEC" w:rsidP="00913414">
            <w:pPr>
              <w:spacing w:line="460" w:lineRule="exact"/>
              <w:rPr>
                <w:rFonts w:eastAsia="標楷體" w:hAnsi="標楷體" w:cs="標楷體"/>
                <w:b/>
                <w:bCs/>
                <w:color w:val="FF0000"/>
                <w:sz w:val="28"/>
                <w:szCs w:val="28"/>
              </w:rPr>
            </w:pPr>
            <w:r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案號</w:t>
            </w:r>
            <w:r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:104A021-a</w:t>
            </w:r>
          </w:p>
          <w:p w:rsidR="00FD1FF0" w:rsidRPr="00512F71" w:rsidRDefault="00FD1FF0" w:rsidP="00913414">
            <w:pPr>
              <w:spacing w:line="460" w:lineRule="exact"/>
              <w:rPr>
                <w:rFonts w:eastAsia="標楷體"/>
                <w:b/>
                <w:bCs/>
                <w:color w:val="FF0000"/>
                <w:sz w:val="28"/>
                <w:szCs w:val="28"/>
              </w:rPr>
            </w:pPr>
            <w:r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標案名稱：</w:t>
            </w:r>
            <w:r w:rsidR="00FE53AD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固定式</w:t>
            </w:r>
            <w:proofErr w:type="gramStart"/>
            <w:r w:rsidR="00FE53AD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植床</w:t>
            </w:r>
            <w:r w:rsidR="00E07AEC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1</w:t>
            </w:r>
            <w:r w:rsidR="00E07AEC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座</w:t>
            </w:r>
            <w:proofErr w:type="gramEnd"/>
            <w:r w:rsidR="00FE53AD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及養液配置系統</w:t>
            </w:r>
            <w:r w:rsidR="00E07AEC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1</w:t>
            </w:r>
            <w:r w:rsidR="00E07AEC" w:rsidRPr="00512F71">
              <w:rPr>
                <w:rFonts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>套</w:t>
            </w:r>
          </w:p>
          <w:p w:rsidR="00FD1FF0" w:rsidRPr="00413DB4" w:rsidRDefault="00FD1FF0" w:rsidP="00913414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12F71">
              <w:rPr>
                <w:rFonts w:eastAsia="標楷體"/>
                <w:sz w:val="28"/>
                <w:szCs w:val="28"/>
              </w:rPr>
              <w:t xml:space="preserve">   </w:t>
            </w:r>
            <w:bookmarkStart w:id="0" w:name="_GoBack"/>
            <w:r w:rsidRPr="00413DB4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本工程內容包含該</w:t>
            </w:r>
            <w:r w:rsidR="00B3279C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BC-3</w:t>
            </w:r>
            <w:r w:rsidR="00FE53AD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溫室</w:t>
            </w:r>
            <w:r w:rsidR="00C20098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一</w:t>
            </w:r>
            <w:r w:rsidR="00FE53AD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座</w:t>
            </w:r>
            <w:proofErr w:type="gramStart"/>
            <w:r w:rsidR="00FE53AD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固定式植床</w:t>
            </w:r>
            <w:proofErr w:type="gramEnd"/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W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:</w:t>
            </w:r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30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</w:rPr>
              <w:t>±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</w:rPr>
              <w:t xml:space="preserve">3 </w:t>
            </w:r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*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 xml:space="preserve"> </w:t>
            </w:r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L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:</w:t>
            </w:r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700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  <w:szCs w:val="20"/>
              </w:rPr>
              <w:t>±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  <w:szCs w:val="20"/>
              </w:rPr>
              <w:t>3</w:t>
            </w:r>
            <w:r w:rsidR="001C5108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公分</w:t>
            </w:r>
            <w:r w:rsidR="00560B11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、一</w:t>
            </w:r>
            <w:r w:rsidR="00FE53AD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套養液配置系統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，規格及施工規範說明如後。</w:t>
            </w:r>
          </w:p>
          <w:p w:rsidR="00FD1FF0" w:rsidRPr="00413DB4" w:rsidRDefault="00FD1FF0" w:rsidP="00F5436D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FD1FF0" w:rsidRPr="00413DB4" w:rsidRDefault="00FD1FF0" w:rsidP="00913414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一、</w:t>
            </w:r>
            <w:r w:rsidR="00560B11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一</w:t>
            </w:r>
            <w:r w:rsidR="005207AF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座固定式植床</w:t>
            </w:r>
          </w:p>
          <w:p w:rsidR="00FD1FF0" w:rsidRPr="00413DB4" w:rsidRDefault="00FD1FF0" w:rsidP="00913414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本工程共含</w:t>
            </w:r>
            <w:r w:rsidR="00560B11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一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座</w:t>
            </w:r>
            <w:r w:rsidR="00C20098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固定式</w:t>
            </w:r>
            <w:proofErr w:type="gramStart"/>
            <w:r w:rsidR="00C20098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植床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，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植床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W:30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</w:rPr>
              <w:t xml:space="preserve">±3 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* L:700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  <w:szCs w:val="20"/>
              </w:rPr>
              <w:t>±3</w:t>
            </w:r>
            <w:r w:rsidR="00413DB4"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公分</w:t>
            </w:r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proofErr w:type="gramStart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主立柱採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1/2</w:t>
            </w:r>
            <w:proofErr w:type="gramStart"/>
            <w:r w:rsidR="00B3279C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 xml:space="preserve"> 鍍鋅管，</w:t>
            </w:r>
            <w:proofErr w:type="gramStart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間格為</w:t>
            </w:r>
            <w:proofErr w:type="gramEnd"/>
            <w:r w:rsidR="00BE5EE2" w:rsidRPr="00413DB4">
              <w:rPr>
                <w:rFonts w:ascii="標楷體" w:eastAsia="標楷體" w:hAnsi="標楷體" w:hint="eastAsia"/>
                <w:sz w:val="28"/>
                <w:szCs w:val="28"/>
              </w:rPr>
              <w:t>2.33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米一組(二支)，</w:t>
            </w:r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每支長度為3米，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並以3/4</w:t>
            </w:r>
            <w:proofErr w:type="gramStart"/>
            <w:r w:rsidR="00B3279C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腳套固定</w:t>
            </w:r>
            <w:proofErr w:type="gramEnd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，每兩</w:t>
            </w:r>
            <w:proofErr w:type="gramStart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組間再以</w:t>
            </w:r>
            <w:proofErr w:type="gramEnd"/>
            <w:r w:rsidR="00BE5EE2" w:rsidRPr="00413DB4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公分1/2</w:t>
            </w:r>
            <w:proofErr w:type="gramStart"/>
            <w:r w:rsidR="001C5108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proofErr w:type="gramEnd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鍍鋅管為</w:t>
            </w:r>
            <w:proofErr w:type="gramStart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補撐立</w:t>
            </w:r>
            <w:proofErr w:type="gramEnd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柱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，下方以彈簧夾固定45公分1/2</w:t>
            </w:r>
            <w:proofErr w:type="gramStart"/>
            <w:r w:rsidR="00A5253B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proofErr w:type="gramEnd"/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鍍鋅管為下</w:t>
            </w:r>
            <w:proofErr w:type="gramStart"/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補稱橫樑</w:t>
            </w:r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雙側上橫樑採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1/2</w:t>
            </w:r>
            <w:proofErr w:type="gramStart"/>
            <w:r w:rsidR="00B3279C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錏管搭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接，單邊總長為7米</w:t>
            </w:r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雙側下橫樑採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1/2</w:t>
            </w:r>
            <w:proofErr w:type="gramStart"/>
            <w:r w:rsidR="00B3279C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鍍鋅管搭接</w:t>
            </w:r>
            <w:proofErr w:type="gramEnd"/>
            <w:r w:rsidR="00B3279C" w:rsidRPr="00413DB4">
              <w:rPr>
                <w:rFonts w:ascii="標楷體" w:eastAsia="標楷體" w:hAnsi="標楷體" w:hint="eastAsia"/>
                <w:sz w:val="28"/>
                <w:szCs w:val="28"/>
              </w:rPr>
              <w:t>，單邊總長為7米</w:t>
            </w:r>
            <w:r w:rsidR="00B3279C" w:rsidRPr="00413DB4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，立柱與橫</w:t>
            </w:r>
            <w:proofErr w:type="gramStart"/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樑間需</w:t>
            </w:r>
            <w:proofErr w:type="gramEnd"/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以彈簧夾固定</w:t>
            </w:r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；塑膠</w:t>
            </w:r>
            <w:proofErr w:type="gramStart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植床槽</w:t>
            </w:r>
            <w:proofErr w:type="gramEnd"/>
            <w:r w:rsidR="001C5108" w:rsidRPr="00413DB4">
              <w:rPr>
                <w:rFonts w:ascii="標楷體" w:eastAsia="標楷體" w:hAnsi="標楷體" w:hint="eastAsia"/>
                <w:sz w:val="28"/>
                <w:szCs w:val="28"/>
              </w:rPr>
              <w:t>大小為W30*H20*L60公分，槽內</w:t>
            </w:r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需鋪設50%</w:t>
            </w:r>
            <w:r w:rsidR="00147F68" w:rsidRPr="00413DB4">
              <w:rPr>
                <w:rFonts w:ascii="標楷體" w:eastAsia="標楷體" w:hAnsi="標楷體" w:hint="eastAsia"/>
                <w:sz w:val="28"/>
                <w:szCs w:val="28"/>
              </w:rPr>
              <w:t>針織黑網</w:t>
            </w:r>
            <w:r w:rsidR="00B91D7C" w:rsidRPr="00413DB4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proofErr w:type="gramStart"/>
            <w:r w:rsidR="00CC0964" w:rsidRPr="00413DB4">
              <w:rPr>
                <w:rFonts w:ascii="標楷體" w:eastAsia="標楷體" w:hAnsi="標楷體" w:hint="eastAsia"/>
                <w:sz w:val="28"/>
                <w:szCs w:val="28"/>
              </w:rPr>
              <w:t>雙側</w:t>
            </w:r>
            <w:r w:rsidR="00F77189" w:rsidRPr="00413DB4">
              <w:rPr>
                <w:rFonts w:ascii="標楷體" w:eastAsia="標楷體" w:hAnsi="標楷體" w:hint="eastAsia"/>
                <w:sz w:val="28"/>
                <w:szCs w:val="28"/>
              </w:rPr>
              <w:t>爬藤網</w:t>
            </w:r>
            <w:proofErr w:type="gramEnd"/>
            <w:r w:rsidR="00F77189" w:rsidRPr="00413DB4">
              <w:rPr>
                <w:rFonts w:ascii="標楷體" w:eastAsia="標楷體" w:hAnsi="標楷體" w:hint="eastAsia"/>
                <w:sz w:val="28"/>
                <w:szCs w:val="28"/>
              </w:rPr>
              <w:t>尺寸為</w:t>
            </w:r>
            <w:r w:rsidR="00CC0964" w:rsidRPr="00413DB4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B27EB6" w:rsidRPr="00413DB4">
              <w:rPr>
                <w:rFonts w:ascii="標楷體" w:eastAsia="標楷體" w:hAnsi="標楷體" w:hint="eastAsia"/>
                <w:sz w:val="28"/>
                <w:szCs w:val="28"/>
              </w:rPr>
              <w:t>寸</w:t>
            </w:r>
            <w:r w:rsidR="00CC0964" w:rsidRPr="00413DB4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="00F77189" w:rsidRPr="00413DB4">
              <w:rPr>
                <w:rFonts w:ascii="標楷體" w:eastAsia="標楷體" w:hAnsi="標楷體" w:hint="eastAsia"/>
                <w:sz w:val="28"/>
                <w:szCs w:val="28"/>
              </w:rPr>
              <w:t>W192cm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導水板尺寸</w:t>
            </w:r>
            <w:proofErr w:type="gramEnd"/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413DB4" w:rsidRPr="00413DB4">
              <w:rPr>
                <w:rFonts w:ascii="標楷體" w:eastAsia="標楷體" w:hAnsi="標楷體"/>
                <w:sz w:val="28"/>
                <w:szCs w:val="28"/>
              </w:rPr>
              <w:t> </w:t>
            </w:r>
            <w:r w:rsidR="00413DB4" w:rsidRPr="00413DB4">
              <w:rPr>
                <w:rFonts w:ascii="標楷體" w:eastAsia="標楷體" w:hAnsi="標楷體" w:hint="eastAsia"/>
                <w:sz w:val="28"/>
                <w:szCs w:val="28"/>
              </w:rPr>
              <w:t>厚度(t):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2.0</w:t>
            </w:r>
            <w:r w:rsidR="00413DB4" w:rsidRPr="00413DB4">
              <w:rPr>
                <w:rFonts w:ascii="標楷體" w:eastAsia="標楷體" w:hAnsi="標楷體" w:hint="eastAsia"/>
                <w:sz w:val="28"/>
                <w:szCs w:val="28"/>
              </w:rPr>
              <w:t xml:space="preserve"> mm 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="00413DB4" w:rsidRPr="00413DB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W50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  <w:szCs w:val="20"/>
              </w:rPr>
              <w:t>±</w:t>
            </w:r>
            <w:r w:rsidR="00413DB4" w:rsidRPr="00413DB4">
              <w:rPr>
                <w:rFonts w:ascii="標楷體" w:eastAsia="標楷體" w:hAnsi="標楷體" w:hint="eastAsia"/>
                <w:color w:val="FF0000"/>
                <w:sz w:val="28"/>
                <w:szCs w:val="20"/>
              </w:rPr>
              <w:t>2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公分</w:t>
            </w:r>
            <w:r w:rsidR="00655470" w:rsidRPr="00413DB4">
              <w:rPr>
                <w:rFonts w:ascii="標楷體" w:eastAsia="標楷體" w:hAnsi="標楷體" w:hint="eastAsia"/>
                <w:sz w:val="28"/>
                <w:szCs w:val="28"/>
              </w:rPr>
              <w:t>，其需以白鐵線固定</w:t>
            </w:r>
            <w:r w:rsidR="00655470" w:rsidRPr="00413DB4">
              <w:rPr>
                <w:rFonts w:ascii="標楷體" w:eastAsia="標楷體" w:hAnsi="標楷體"/>
                <w:kern w:val="0"/>
                <w:sz w:val="28"/>
                <w:szCs w:val="28"/>
              </w:rPr>
              <w:t>(</w:t>
            </w:r>
            <w:r w:rsidR="00655470" w:rsidRPr="00413DB4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或以上規格品</w:t>
            </w:r>
            <w:r w:rsidR="00655470" w:rsidRPr="00413DB4">
              <w:rPr>
                <w:rFonts w:ascii="標楷體" w:eastAsia="標楷體" w:hAnsi="標楷體"/>
                <w:kern w:val="0"/>
                <w:sz w:val="28"/>
                <w:szCs w:val="28"/>
              </w:rPr>
              <w:t>)</w:t>
            </w:r>
            <w:r w:rsidR="00A5253B" w:rsidRPr="00413DB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FD1FF0" w:rsidRPr="00413DB4" w:rsidRDefault="00FD1FF0" w:rsidP="00913414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FD1FF0" w:rsidRPr="00413DB4" w:rsidRDefault="00FD1FF0" w:rsidP="00E47F8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二、</w:t>
            </w:r>
            <w:r w:rsidR="00560B11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一</w:t>
            </w:r>
            <w:r w:rsidR="00F25F37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套養液配置系統</w:t>
            </w:r>
          </w:p>
          <w:p w:rsidR="00B91D7C" w:rsidRPr="00413DB4" w:rsidRDefault="00FD1FF0" w:rsidP="00913414">
            <w:pPr>
              <w:spacing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560B11" w:rsidRPr="00413DB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proofErr w:type="gramStart"/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植床配</w:t>
            </w:r>
            <w:proofErr w:type="gramEnd"/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一套迴路，其</w:t>
            </w:r>
            <w:r w:rsidR="00655470" w:rsidRPr="00413DB4">
              <w:rPr>
                <w:rFonts w:ascii="標楷體" w:eastAsia="標楷體" w:hAnsi="標楷體" w:hint="eastAsia"/>
                <w:sz w:val="28"/>
                <w:szCs w:val="28"/>
              </w:rPr>
              <w:t>儲水桶為1噸PE材質(有蓋子</w:t>
            </w:r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、1</w:t>
            </w:r>
            <w:proofErr w:type="gramStart"/>
            <w:r w:rsidR="004E3BD1" w:rsidRPr="00413DB4">
              <w:rPr>
                <w:rFonts w:ascii="標楷體" w:eastAsia="標楷體" w:hAnsi="標楷體"/>
                <w:sz w:val="28"/>
                <w:szCs w:val="28"/>
              </w:rPr>
              <w:t>”</w:t>
            </w:r>
            <w:proofErr w:type="gramEnd"/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y</w:t>
            </w:r>
            <w:r w:rsidR="008879A5" w:rsidRPr="00413DB4">
              <w:rPr>
                <w:rFonts w:ascii="標楷體" w:eastAsia="標楷體" w:hAnsi="標楷體" w:hint="eastAsia"/>
                <w:sz w:val="28"/>
                <w:szCs w:val="28"/>
              </w:rPr>
              <w:t>型</w:t>
            </w:r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過濾器、</w:t>
            </w:r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1HP/3相/220V抽水馬達</w:t>
            </w:r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植床底部</w:t>
            </w:r>
            <w:proofErr w:type="gramEnd"/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配</w:t>
            </w:r>
            <w:proofErr w:type="gramStart"/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管及滴灌</w:t>
            </w:r>
            <w:proofErr w:type="gramEnd"/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配置</w:t>
            </w:r>
            <w:r w:rsidR="004E3BD1" w:rsidRPr="00413DB4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共</w:t>
            </w:r>
            <w:r w:rsidR="00E937B2" w:rsidRPr="00413DB4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BA1610" w:rsidRPr="00413DB4">
              <w:rPr>
                <w:rFonts w:ascii="標楷體" w:eastAsia="標楷體" w:hAnsi="標楷體" w:hint="eastAsia"/>
                <w:sz w:val="28"/>
                <w:szCs w:val="28"/>
              </w:rPr>
              <w:t>套，</w:t>
            </w:r>
            <w:r w:rsidR="002E5CA6" w:rsidRPr="00413DB4">
              <w:rPr>
                <w:rFonts w:ascii="標楷體" w:eastAsia="標楷體" w:hAnsi="標楷體" w:hint="eastAsia"/>
                <w:sz w:val="28"/>
                <w:szCs w:val="28"/>
              </w:rPr>
              <w:t>控制箱</w:t>
            </w:r>
            <w:proofErr w:type="gramStart"/>
            <w:r w:rsidR="002E5CA6" w:rsidRPr="00413DB4">
              <w:rPr>
                <w:rFonts w:ascii="標楷體" w:eastAsia="標楷體" w:hAnsi="標楷體" w:hint="eastAsia"/>
                <w:sz w:val="28"/>
                <w:szCs w:val="28"/>
              </w:rPr>
              <w:t>採</w:t>
            </w:r>
            <w:proofErr w:type="gramEnd"/>
            <w:r w:rsidR="002E5CA6" w:rsidRPr="00413DB4">
              <w:rPr>
                <w:rFonts w:ascii="標楷體" w:eastAsia="標楷體" w:hAnsi="標楷體" w:hint="eastAsia"/>
                <w:sz w:val="28"/>
                <w:szCs w:val="28"/>
              </w:rPr>
              <w:t>烤漆材質，內</w:t>
            </w:r>
            <w:r w:rsidR="00C20098" w:rsidRPr="00413DB4">
              <w:rPr>
                <w:rFonts w:ascii="標楷體" w:eastAsia="標楷體" w:hAnsi="標楷體" w:hint="eastAsia"/>
                <w:sz w:val="28"/>
                <w:szCs w:val="28"/>
              </w:rPr>
              <w:t>需</w:t>
            </w:r>
            <w:r w:rsidR="002E5CA6" w:rsidRPr="00413DB4">
              <w:rPr>
                <w:rFonts w:ascii="標楷體" w:eastAsia="標楷體" w:hAnsi="標楷體" w:hint="eastAsia"/>
                <w:sz w:val="28"/>
                <w:szCs w:val="28"/>
              </w:rPr>
              <w:t>有</w:t>
            </w:r>
            <w:r w:rsidR="00E937B2" w:rsidRPr="00413DB4">
              <w:rPr>
                <w:rFonts w:ascii="標楷體" w:eastAsia="標楷體" w:hAnsi="標楷體" w:hint="eastAsia"/>
                <w:sz w:val="28"/>
                <w:szCs w:val="28"/>
              </w:rPr>
              <w:t>1組計時器、</w:t>
            </w:r>
            <w:proofErr w:type="gramStart"/>
            <w:r w:rsidR="00E937B2" w:rsidRPr="00413DB4">
              <w:rPr>
                <w:rFonts w:ascii="標楷體" w:eastAsia="標楷體" w:hAnsi="標楷體" w:hint="eastAsia"/>
                <w:sz w:val="28"/>
                <w:szCs w:val="28"/>
              </w:rPr>
              <w:t>欠相過載</w:t>
            </w:r>
            <w:proofErr w:type="gramEnd"/>
            <w:r w:rsidR="00E937B2" w:rsidRPr="00413DB4">
              <w:rPr>
                <w:rFonts w:ascii="標楷體" w:eastAsia="標楷體" w:hAnsi="標楷體" w:hint="eastAsia"/>
                <w:sz w:val="28"/>
                <w:szCs w:val="28"/>
              </w:rPr>
              <w:t>保護器及迴路開關等裝置。</w:t>
            </w:r>
            <w:r w:rsidR="00E937B2" w:rsidRPr="00413DB4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  <w:p w:rsidR="00147F68" w:rsidRPr="00413DB4" w:rsidRDefault="00147F68" w:rsidP="00913414">
            <w:pPr>
              <w:pStyle w:val="Default"/>
              <w:spacing w:line="4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:rsidR="00FD1FF0" w:rsidRPr="00413DB4" w:rsidRDefault="00FD1FF0" w:rsidP="00913414">
            <w:pPr>
              <w:pStyle w:val="Default"/>
              <w:spacing w:line="4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三、承包商施工規範事項：</w:t>
            </w:r>
          </w:p>
          <w:p w:rsidR="00A5253B" w:rsidRPr="00413DB4" w:rsidRDefault="00147F68" w:rsidP="00A5253B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1. </w:t>
            </w:r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確實依</w:t>
            </w:r>
            <w:proofErr w:type="gramStart"/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複</w:t>
            </w:r>
            <w:proofErr w:type="gramEnd"/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丈現場施作範圍尺</w:t>
            </w:r>
            <w:r w:rsidR="00B27EB6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寸</w:t>
            </w:r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，現場測量</w:t>
            </w:r>
            <w:proofErr w:type="gramStart"/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放樣經</w:t>
            </w:r>
            <w:proofErr w:type="gramEnd"/>
            <w:r w:rsidR="00A5253B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業主備案後方可施工。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2.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施工期間如因施工不當而發生意外事故，一切責任概由承包商自行負責。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3.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承包商於施工</w:t>
            </w:r>
            <w:proofErr w:type="gramStart"/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期間，</w:t>
            </w:r>
            <w:proofErr w:type="gramEnd"/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須設有人員安全進出之維護設施等，以維護人員之安全。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4.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若有未盡事宜或未</w:t>
            </w:r>
            <w:proofErr w:type="gramStart"/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暸</w:t>
            </w:r>
            <w:proofErr w:type="gramEnd"/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解圖說之情形，承包商應先報請業主核定後方可施工。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5.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本工程以總價承包，承包商需詳實計算並估價。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6.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承包商對圖說，詳細表及責任分界點有任何疑問，請於開標前提出，否則得標後以總價承包，如有</w:t>
            </w:r>
            <w:r w:rsidR="00B27EB6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異議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以業主解釋為主。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7.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施工圖與現場實際狀況有差異時，承包商應向業主反應，經業主核可後方可修改。</w:t>
            </w:r>
          </w:p>
          <w:p w:rsidR="00147F68" w:rsidRPr="00413DB4" w:rsidRDefault="00147F68" w:rsidP="00147F68">
            <w:pPr>
              <w:pStyle w:val="Default"/>
              <w:spacing w:line="46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13DB4">
              <w:rPr>
                <w:rFonts w:ascii="標楷體" w:eastAsia="標楷體" w:hAnsi="標楷體" w:cs="Times New Roman"/>
                <w:sz w:val="28"/>
                <w:szCs w:val="28"/>
              </w:rPr>
              <w:t xml:space="preserve">8.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本工程使用之建材規定僅供參考，承</w:t>
            </w:r>
            <w:r w:rsidR="00413DB4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包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商可</w:t>
            </w:r>
            <w:r w:rsidR="00413DB4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於招標文件內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提</w:t>
            </w:r>
            <w:r w:rsidR="00413DB4"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出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優於圖說規定或同等品之材料供審核使用。</w:t>
            </w:r>
          </w:p>
          <w:p w:rsidR="00FD1FF0" w:rsidRPr="00413DB4" w:rsidRDefault="00147F68" w:rsidP="00BA1610">
            <w:pPr>
              <w:pStyle w:val="Default"/>
              <w:spacing w:line="46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/>
                <w:sz w:val="28"/>
                <w:szCs w:val="28"/>
              </w:rPr>
              <w:lastRenderedPageBreak/>
              <w:t xml:space="preserve">9. </w:t>
            </w:r>
            <w:r w:rsidRPr="00413DB4">
              <w:rPr>
                <w:rFonts w:ascii="標楷體" w:eastAsia="標楷體" w:hAnsi="標楷體" w:cs="標楷體" w:hint="eastAsia"/>
                <w:sz w:val="28"/>
                <w:szCs w:val="28"/>
              </w:rPr>
              <w:t>圖面上如有標示數量，僅供參考應以圖面實際數量為主。</w:t>
            </w:r>
          </w:p>
          <w:p w:rsidR="00E07AEC" w:rsidRPr="00413DB4" w:rsidRDefault="00E07AEC" w:rsidP="00E07AEC">
            <w:pPr>
              <w:pStyle w:val="Default"/>
              <w:spacing w:line="460" w:lineRule="exact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10.履約地點: 高雄區農業改良場(屏東縣長治鄉德和村德和路2-6號)</w:t>
            </w:r>
          </w:p>
          <w:p w:rsidR="00E07AEC" w:rsidRPr="00413DB4" w:rsidRDefault="00E07AEC" w:rsidP="00E07AEC">
            <w:pPr>
              <w:pStyle w:val="Default"/>
              <w:spacing w:line="460" w:lineRule="exact"/>
              <w:rPr>
                <w:rFonts w:ascii="標楷體" w:eastAsia="標楷體" w:hAnsi="標楷體" w:cs="標楷體"/>
                <w:bCs/>
                <w:color w:val="FF0000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 xml:space="preserve">11.履約期限: </w:t>
            </w:r>
            <w:r w:rsidRPr="00413DB4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自決標日起7日內申報開工，開工日起30個日曆天竣工。</w:t>
            </w:r>
          </w:p>
          <w:p w:rsidR="00E07AEC" w:rsidRPr="00512F71" w:rsidRDefault="00E07AEC" w:rsidP="00512F71">
            <w:pPr>
              <w:pStyle w:val="Default"/>
              <w:spacing w:line="460" w:lineRule="exact"/>
              <w:rPr>
                <w:rFonts w:ascii="Times New Roman" w:eastAsia="標楷體" w:hAnsi="標楷體" w:cs="標楷體"/>
                <w:sz w:val="28"/>
                <w:szCs w:val="28"/>
              </w:rPr>
            </w:pPr>
            <w:r w:rsidRPr="00413DB4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12.</w:t>
            </w:r>
            <w:r w:rsidR="00512F71" w:rsidRPr="00413DB4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保固期限:自驗收</w:t>
            </w:r>
            <w:proofErr w:type="gramStart"/>
            <w:r w:rsidR="00512F71" w:rsidRPr="00413DB4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日起保固</w:t>
            </w:r>
            <w:proofErr w:type="gramEnd"/>
            <w:r w:rsidR="00512F71" w:rsidRPr="00413DB4">
              <w:rPr>
                <w:rFonts w:ascii="標楷體" w:eastAsia="標楷體" w:hAnsi="標楷體" w:cs="標楷體" w:hint="eastAsia"/>
                <w:bCs/>
                <w:color w:val="FF0000"/>
                <w:sz w:val="28"/>
                <w:szCs w:val="28"/>
              </w:rPr>
              <w:t>1年。</w:t>
            </w:r>
            <w:r w:rsidR="00512F71" w:rsidRPr="00413DB4">
              <w:rPr>
                <w:rFonts w:ascii="標楷體" w:eastAsia="標楷體" w:hAnsi="標楷體" w:cs="標楷體" w:hint="eastAsia"/>
                <w:b/>
                <w:bCs/>
                <w:color w:val="FF0000"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FD1FF0" w:rsidRPr="00791A6D" w:rsidRDefault="00FD1FF0" w:rsidP="00C20098">
      <w:pPr>
        <w:spacing w:line="460" w:lineRule="exact"/>
        <w:rPr>
          <w:rFonts w:eastAsia="標楷體"/>
          <w:sz w:val="28"/>
          <w:szCs w:val="28"/>
        </w:rPr>
      </w:pPr>
    </w:p>
    <w:sectPr w:rsidR="00FD1FF0" w:rsidRPr="00791A6D" w:rsidSect="00C20098">
      <w:pgSz w:w="11906" w:h="16838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6F9" w:rsidRDefault="00B026F9" w:rsidP="002348E4">
      <w:r>
        <w:separator/>
      </w:r>
    </w:p>
  </w:endnote>
  <w:endnote w:type="continuationSeparator" w:id="0">
    <w:p w:rsidR="00B026F9" w:rsidRDefault="00B026F9" w:rsidP="0023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6F9" w:rsidRDefault="00B026F9" w:rsidP="002348E4">
      <w:r>
        <w:separator/>
      </w:r>
    </w:p>
  </w:footnote>
  <w:footnote w:type="continuationSeparator" w:id="0">
    <w:p w:rsidR="00B026F9" w:rsidRDefault="00B026F9" w:rsidP="00234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32"/>
    <w:rsid w:val="00081506"/>
    <w:rsid w:val="00147F68"/>
    <w:rsid w:val="001C5108"/>
    <w:rsid w:val="001D5EC9"/>
    <w:rsid w:val="002348E4"/>
    <w:rsid w:val="00244469"/>
    <w:rsid w:val="00276EF0"/>
    <w:rsid w:val="002A5BCB"/>
    <w:rsid w:val="002D5CBE"/>
    <w:rsid w:val="002E5CA6"/>
    <w:rsid w:val="00332558"/>
    <w:rsid w:val="00390723"/>
    <w:rsid w:val="003A1AEF"/>
    <w:rsid w:val="00411AE7"/>
    <w:rsid w:val="00413DB4"/>
    <w:rsid w:val="00430D94"/>
    <w:rsid w:val="00434F2E"/>
    <w:rsid w:val="004E3BD1"/>
    <w:rsid w:val="00512F71"/>
    <w:rsid w:val="005207AF"/>
    <w:rsid w:val="00560B11"/>
    <w:rsid w:val="005E57BA"/>
    <w:rsid w:val="005E7E49"/>
    <w:rsid w:val="00655470"/>
    <w:rsid w:val="006C6160"/>
    <w:rsid w:val="006D77F8"/>
    <w:rsid w:val="006E4F4C"/>
    <w:rsid w:val="007122B8"/>
    <w:rsid w:val="00713ED2"/>
    <w:rsid w:val="0073030E"/>
    <w:rsid w:val="00731153"/>
    <w:rsid w:val="0073783D"/>
    <w:rsid w:val="00772114"/>
    <w:rsid w:val="00791A6D"/>
    <w:rsid w:val="0080312D"/>
    <w:rsid w:val="00814152"/>
    <w:rsid w:val="008879A5"/>
    <w:rsid w:val="008E3FA2"/>
    <w:rsid w:val="00913414"/>
    <w:rsid w:val="00927932"/>
    <w:rsid w:val="009D0E23"/>
    <w:rsid w:val="00A03AC1"/>
    <w:rsid w:val="00A5253B"/>
    <w:rsid w:val="00A66470"/>
    <w:rsid w:val="00AB02FC"/>
    <w:rsid w:val="00B026F9"/>
    <w:rsid w:val="00B27EB6"/>
    <w:rsid w:val="00B3279C"/>
    <w:rsid w:val="00B8230C"/>
    <w:rsid w:val="00B91D7C"/>
    <w:rsid w:val="00BA1610"/>
    <w:rsid w:val="00BE5EE2"/>
    <w:rsid w:val="00C20098"/>
    <w:rsid w:val="00CC0964"/>
    <w:rsid w:val="00CE7347"/>
    <w:rsid w:val="00D06544"/>
    <w:rsid w:val="00D1587B"/>
    <w:rsid w:val="00D6042E"/>
    <w:rsid w:val="00D77C5A"/>
    <w:rsid w:val="00DB4F32"/>
    <w:rsid w:val="00E061E5"/>
    <w:rsid w:val="00E07AEC"/>
    <w:rsid w:val="00E47F88"/>
    <w:rsid w:val="00E937B2"/>
    <w:rsid w:val="00E97890"/>
    <w:rsid w:val="00EA375B"/>
    <w:rsid w:val="00EF591D"/>
    <w:rsid w:val="00F25F37"/>
    <w:rsid w:val="00F5436D"/>
    <w:rsid w:val="00F77189"/>
    <w:rsid w:val="00F918D7"/>
    <w:rsid w:val="00FD1FF0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9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0D94"/>
    <w:pPr>
      <w:ind w:leftChars="200" w:left="480"/>
    </w:pPr>
  </w:style>
  <w:style w:type="table" w:styleId="a4">
    <w:name w:val="Table Grid"/>
    <w:basedOn w:val="a1"/>
    <w:uiPriority w:val="99"/>
    <w:rsid w:val="00DB4F3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B4F32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5">
    <w:name w:val="Balloon Text"/>
    <w:basedOn w:val="a"/>
    <w:link w:val="a6"/>
    <w:uiPriority w:val="99"/>
    <w:semiHidden/>
    <w:rsid w:val="006E4F4C"/>
    <w:rPr>
      <w:rFonts w:ascii="Cambria" w:hAnsi="Cambria" w:cs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locked/>
    <w:rsid w:val="006E4F4C"/>
    <w:rPr>
      <w:rFonts w:ascii="Cambria" w:eastAsia="新細明體" w:hAnsi="Cambria" w:cs="Cambria"/>
      <w:kern w:val="2"/>
      <w:sz w:val="18"/>
      <w:szCs w:val="18"/>
    </w:rPr>
  </w:style>
  <w:style w:type="paragraph" w:styleId="a7">
    <w:name w:val="header"/>
    <w:basedOn w:val="a"/>
    <w:link w:val="a8"/>
    <w:uiPriority w:val="99"/>
    <w:semiHidden/>
    <w:rsid w:val="00234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locked/>
    <w:rsid w:val="002348E4"/>
    <w:rPr>
      <w:kern w:val="2"/>
    </w:rPr>
  </w:style>
  <w:style w:type="paragraph" w:styleId="a9">
    <w:name w:val="footer"/>
    <w:basedOn w:val="a"/>
    <w:link w:val="aa"/>
    <w:uiPriority w:val="99"/>
    <w:semiHidden/>
    <w:rsid w:val="00234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locked/>
    <w:rsid w:val="002348E4"/>
    <w:rPr>
      <w:kern w:val="2"/>
    </w:rPr>
  </w:style>
  <w:style w:type="paragraph" w:customStyle="1" w:styleId="ab">
    <w:name w:val=" 字元 字元 字元 字元 字元 字元"/>
    <w:basedOn w:val="a"/>
    <w:rsid w:val="00413DB4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9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0D94"/>
    <w:pPr>
      <w:ind w:leftChars="200" w:left="480"/>
    </w:pPr>
  </w:style>
  <w:style w:type="table" w:styleId="a4">
    <w:name w:val="Table Grid"/>
    <w:basedOn w:val="a1"/>
    <w:uiPriority w:val="99"/>
    <w:rsid w:val="00DB4F3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B4F32"/>
    <w:pPr>
      <w:widowControl w:val="0"/>
      <w:autoSpaceDE w:val="0"/>
      <w:autoSpaceDN w:val="0"/>
      <w:adjustRightInd w:val="0"/>
    </w:pPr>
    <w:rPr>
      <w:rFonts w:ascii="新細明體" w:hAnsi="新細明體" w:cs="新細明體"/>
      <w:color w:val="000000"/>
      <w:kern w:val="0"/>
      <w:szCs w:val="24"/>
    </w:rPr>
  </w:style>
  <w:style w:type="paragraph" w:styleId="a5">
    <w:name w:val="Balloon Text"/>
    <w:basedOn w:val="a"/>
    <w:link w:val="a6"/>
    <w:uiPriority w:val="99"/>
    <w:semiHidden/>
    <w:rsid w:val="006E4F4C"/>
    <w:rPr>
      <w:rFonts w:ascii="Cambria" w:hAnsi="Cambria" w:cs="Cambria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locked/>
    <w:rsid w:val="006E4F4C"/>
    <w:rPr>
      <w:rFonts w:ascii="Cambria" w:eastAsia="新細明體" w:hAnsi="Cambria" w:cs="Cambria"/>
      <w:kern w:val="2"/>
      <w:sz w:val="18"/>
      <w:szCs w:val="18"/>
    </w:rPr>
  </w:style>
  <w:style w:type="paragraph" w:styleId="a7">
    <w:name w:val="header"/>
    <w:basedOn w:val="a"/>
    <w:link w:val="a8"/>
    <w:uiPriority w:val="99"/>
    <w:semiHidden/>
    <w:rsid w:val="00234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locked/>
    <w:rsid w:val="002348E4"/>
    <w:rPr>
      <w:kern w:val="2"/>
    </w:rPr>
  </w:style>
  <w:style w:type="paragraph" w:styleId="a9">
    <w:name w:val="footer"/>
    <w:basedOn w:val="a"/>
    <w:link w:val="aa"/>
    <w:uiPriority w:val="99"/>
    <w:semiHidden/>
    <w:rsid w:val="00234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locked/>
    <w:rsid w:val="002348E4"/>
    <w:rPr>
      <w:kern w:val="2"/>
    </w:rPr>
  </w:style>
  <w:style w:type="paragraph" w:customStyle="1" w:styleId="ab">
    <w:name w:val=" 字元 字元 字元 字元 字元 字元"/>
    <w:basedOn w:val="a"/>
    <w:rsid w:val="00413DB4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857</Characters>
  <Application>Microsoft Office Word</Application>
  <DocSecurity>0</DocSecurity>
  <Lines>7</Lines>
  <Paragraphs>2</Paragraphs>
  <ScaleCrop>false</ScaleCrop>
  <Company>Your Company Name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高雄區農業改良場招標採購規格書</dc:title>
  <dc:creator>Szu Ju Chen</dc:creator>
  <cp:lastModifiedBy>user</cp:lastModifiedBy>
  <cp:revision>3</cp:revision>
  <cp:lastPrinted>2015-06-26T06:33:00Z</cp:lastPrinted>
  <dcterms:created xsi:type="dcterms:W3CDTF">2015-07-27T08:35:00Z</dcterms:created>
  <dcterms:modified xsi:type="dcterms:W3CDTF">2015-07-30T07:27:00Z</dcterms:modified>
</cp:coreProperties>
</file>